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40" w:rsidRPr="003963BB" w:rsidRDefault="003854D1">
      <w:pPr>
        <w:rPr>
          <w:rFonts w:ascii="Garamond" w:hAnsi="Garamond" w:cs="Times New Roman"/>
          <w:b/>
          <w:color w:val="0070C0"/>
          <w:sz w:val="40"/>
          <w:szCs w:val="40"/>
          <w:u w:val="single"/>
        </w:rPr>
      </w:pPr>
      <w:r w:rsidRPr="003963BB">
        <w:rPr>
          <w:rFonts w:ascii="Garamond" w:hAnsi="Garamond" w:cs="Times New Roman"/>
          <w:b/>
          <w:color w:val="0070C0"/>
          <w:sz w:val="40"/>
          <w:szCs w:val="40"/>
          <w:u w:val="single"/>
        </w:rPr>
        <w:t>Pozemkové úpravy v katastrálnom území Lieskovec</w:t>
      </w:r>
    </w:p>
    <w:p w:rsidR="003854D1" w:rsidRPr="003963BB" w:rsidRDefault="003854D1">
      <w:pPr>
        <w:rPr>
          <w:rFonts w:ascii="Garamond" w:hAnsi="Garamond" w:cs="Times New Roman"/>
          <w:b/>
          <w:sz w:val="40"/>
          <w:szCs w:val="40"/>
          <w:u w:val="single"/>
        </w:rPr>
      </w:pPr>
    </w:p>
    <w:p w:rsidR="003854D1" w:rsidRPr="003963BB" w:rsidRDefault="003854D1" w:rsidP="003963BB">
      <w:pPr>
        <w:ind w:left="-1134" w:right="-709"/>
        <w:rPr>
          <w:rFonts w:ascii="Garamond" w:hAnsi="Garamond" w:cs="Times New Roman"/>
          <w:sz w:val="24"/>
          <w:szCs w:val="24"/>
        </w:rPr>
      </w:pPr>
      <w:r w:rsidRPr="003963BB">
        <w:rPr>
          <w:rFonts w:ascii="Garamond" w:hAnsi="Garamond" w:cs="Times New Roman"/>
          <w:b/>
          <w:sz w:val="26"/>
          <w:szCs w:val="26"/>
        </w:rPr>
        <w:t xml:space="preserve">Nariadenie projektu pozemkových úprav: </w:t>
      </w:r>
      <w:r w:rsidRPr="003963BB">
        <w:rPr>
          <w:rFonts w:ascii="Garamond" w:hAnsi="Garamond" w:cs="Times New Roman"/>
          <w:color w:val="7030A0"/>
          <w:sz w:val="26"/>
          <w:szCs w:val="26"/>
        </w:rPr>
        <w:t>„</w:t>
      </w:r>
      <w:r w:rsidRPr="003963BB">
        <w:rPr>
          <w:rFonts w:ascii="Garamond" w:hAnsi="Garamond" w:cs="Times New Roman"/>
          <w:b/>
          <w:color w:val="7030A0"/>
          <w:sz w:val="26"/>
          <w:szCs w:val="26"/>
        </w:rPr>
        <w:t>Rozhodnutie o nariadení pozemkových úprav“</w:t>
      </w:r>
      <w:r w:rsidR="003963BB" w:rsidRPr="003963BB">
        <w:rPr>
          <w:rFonts w:ascii="Garamond" w:hAnsi="Garamond" w:cs="Times New Roman"/>
          <w:b/>
          <w:color w:val="7030A0"/>
          <w:sz w:val="26"/>
          <w:szCs w:val="26"/>
        </w:rPr>
        <w:t>/</w:t>
      </w:r>
      <w:r w:rsidR="003963BB" w:rsidRPr="003963BB">
        <w:rPr>
          <w:rFonts w:ascii="Garamond" w:hAnsi="Garamond" w:cs="Times New Roman"/>
          <w:b/>
          <w:sz w:val="26"/>
          <w:szCs w:val="26"/>
        </w:rPr>
        <w:t>14.05.2009/</w:t>
      </w:r>
    </w:p>
    <w:p w:rsidR="003854D1" w:rsidRPr="003963BB" w:rsidRDefault="003854D1" w:rsidP="003854D1">
      <w:pPr>
        <w:ind w:left="-709" w:right="-709"/>
        <w:jc w:val="center"/>
        <w:rPr>
          <w:rFonts w:ascii="Garamond" w:hAnsi="Garamond" w:cs="Times New Roman"/>
          <w:sz w:val="24"/>
          <w:szCs w:val="24"/>
        </w:rPr>
      </w:pPr>
    </w:p>
    <w:p w:rsidR="003854D1" w:rsidRPr="003963BB" w:rsidRDefault="003854D1" w:rsidP="003854D1">
      <w:pPr>
        <w:ind w:left="-709" w:right="-709"/>
        <w:jc w:val="center"/>
        <w:rPr>
          <w:rFonts w:ascii="Garamond" w:hAnsi="Garamond" w:cs="Times New Roman"/>
          <w:sz w:val="36"/>
          <w:szCs w:val="36"/>
        </w:rPr>
      </w:pPr>
      <w:r w:rsidRPr="003963BB">
        <w:rPr>
          <w:rFonts w:ascii="Garamond" w:hAnsi="Garamond" w:cs="Times New Roman"/>
          <w:b/>
          <w:sz w:val="36"/>
          <w:szCs w:val="36"/>
          <w:u w:val="single"/>
        </w:rPr>
        <w:t>HARMONOGRAM  PRÁC</w:t>
      </w:r>
    </w:p>
    <w:tbl>
      <w:tblPr>
        <w:tblW w:w="11624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24"/>
      </w:tblGrid>
      <w:tr w:rsidR="00DB3A0F" w:rsidRPr="003963BB" w:rsidTr="004D45CF">
        <w:trPr>
          <w:trHeight w:val="461"/>
        </w:trPr>
        <w:tc>
          <w:tcPr>
            <w:tcW w:w="11624" w:type="dxa"/>
          </w:tcPr>
          <w:p w:rsidR="00DB3A0F" w:rsidRPr="003963BB" w:rsidRDefault="004D45CF" w:rsidP="004D45CF">
            <w:pPr>
              <w:spacing w:line="240" w:lineRule="auto"/>
              <w:ind w:right="-709"/>
              <w:jc w:val="both"/>
              <w:rPr>
                <w:rFonts w:ascii="Garamond" w:hAnsi="Garamond" w:cs="Times New Roman"/>
                <w:b/>
                <w:color w:val="7030A0"/>
                <w:sz w:val="24"/>
                <w:szCs w:val="24"/>
              </w:rPr>
            </w:pPr>
            <w:r w:rsidRPr="003963BB">
              <w:rPr>
                <w:rFonts w:ascii="Garamond" w:hAnsi="Garamond" w:cs="Times New Roman"/>
                <w:sz w:val="36"/>
                <w:szCs w:val="36"/>
              </w:rPr>
              <w:t xml:space="preserve">   </w:t>
            </w:r>
            <w:r w:rsidR="00DB3A0F"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31.09.2009 – </w:t>
            </w:r>
            <w:r w:rsidR="00DB3A0F"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Práce v bodovom poli</w:t>
            </w:r>
          </w:p>
        </w:tc>
      </w:tr>
      <w:tr w:rsidR="004D45CF" w:rsidRPr="003963BB" w:rsidTr="004D45CF">
        <w:trPr>
          <w:trHeight w:val="870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30.09.2009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 xml:space="preserve">Prešetrenie, vytýčenie, zameranie, zobrazenie a trvalé označenie hranice obvodu projektu                       </w:t>
            </w:r>
          </w:p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sz w:val="36"/>
                <w:szCs w:val="3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                     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pozemkových úprav</w:t>
            </w:r>
          </w:p>
        </w:tc>
      </w:tr>
      <w:tr w:rsidR="004D45CF" w:rsidRPr="003963BB" w:rsidTr="004D45CF">
        <w:trPr>
          <w:trHeight w:val="1365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color w:val="FF0000"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30.07.2011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Účelové mapovanie polohopisu v obvode projektu pozemkových úprav</w:t>
            </w:r>
            <w:r w:rsidRPr="003963BB">
              <w:rPr>
                <w:rFonts w:ascii="Garamond" w:hAnsi="Garamond" w:cs="Times New Roman"/>
                <w:b/>
                <w:color w:val="FF0000"/>
                <w:sz w:val="26"/>
                <w:szCs w:val="26"/>
              </w:rPr>
              <w:t xml:space="preserve"> </w:t>
            </w:r>
          </w:p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color w:val="943634" w:themeColor="accent2" w:themeShade="BF"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color w:val="943634" w:themeColor="accent2" w:themeShade="BF"/>
                <w:sz w:val="26"/>
                <w:szCs w:val="26"/>
              </w:rPr>
              <w:t xml:space="preserve">                      /-zameranie skutočného stavu v teréne a zistenie zmien medzi skutočným a evidovaným </w:t>
            </w:r>
          </w:p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color w:val="943634" w:themeColor="accent2" w:themeShade="BF"/>
                <w:sz w:val="26"/>
                <w:szCs w:val="26"/>
              </w:rPr>
              <w:t xml:space="preserve">                      stavom v katastri/</w:t>
            </w:r>
          </w:p>
        </w:tc>
      </w:tr>
      <w:tr w:rsidR="004D45CF" w:rsidRPr="003963BB" w:rsidTr="004D45CF">
        <w:trPr>
          <w:trHeight w:val="390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30.09.2011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Účelové mapovanie výškopisu pre projekt pozemkových úprav</w:t>
            </w: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D45CF" w:rsidRPr="003963BB" w:rsidTr="004D45CF">
        <w:trPr>
          <w:trHeight w:val="495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30.09.2011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Aktualizácia máp BPEJ a ocenenie pozemkov a porastov</w:t>
            </w:r>
          </w:p>
        </w:tc>
      </w:tr>
      <w:tr w:rsidR="004D45CF" w:rsidRPr="003963BB" w:rsidTr="004D45CF">
        <w:trPr>
          <w:trHeight w:val="495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31.03.2012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Register pôvodného stavu po ROEP / „RPS“/</w:t>
            </w:r>
          </w:p>
        </w:tc>
      </w:tr>
      <w:tr w:rsidR="004D45CF" w:rsidRPr="003963BB" w:rsidTr="004D45CF">
        <w:trPr>
          <w:trHeight w:val="930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31.12.2012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 xml:space="preserve">Návrh miestneho územného systému ekologickej stability územia pre účely projektu </w:t>
            </w:r>
          </w:p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 xml:space="preserve">                      pozemkových úprav</w:t>
            </w:r>
          </w:p>
        </w:tc>
      </w:tr>
      <w:tr w:rsidR="004D45CF" w:rsidRPr="003963BB" w:rsidTr="004D45CF">
        <w:trPr>
          <w:trHeight w:val="465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31.12.2012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Všeobecné zásady funkčného usporiadania územia v obvode projektu pozemkových úprav</w:t>
            </w:r>
          </w:p>
        </w:tc>
      </w:tr>
      <w:tr w:rsidR="004D45CF" w:rsidRPr="003963BB" w:rsidTr="004D45CF">
        <w:trPr>
          <w:trHeight w:val="370"/>
        </w:trPr>
        <w:tc>
          <w:tcPr>
            <w:tcW w:w="11624" w:type="dxa"/>
          </w:tcPr>
          <w:p w:rsidR="004D45CF" w:rsidRPr="003963BB" w:rsidRDefault="004D45CF" w:rsidP="004D45CF">
            <w:pPr>
              <w:spacing w:line="240" w:lineRule="auto"/>
              <w:ind w:right="-709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 xml:space="preserve">    </w:t>
            </w: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28.02.2013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Zásady pre umiestnenie nový</w:t>
            </w:r>
            <w:r w:rsidR="003A265C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ch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 xml:space="preserve"> pozemkov</w:t>
            </w:r>
          </w:p>
        </w:tc>
      </w:tr>
      <w:tr w:rsidR="004D45CF" w:rsidRPr="003963BB" w:rsidTr="004D45CF">
        <w:trPr>
          <w:trHeight w:val="450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30.11.2013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Plány spoločných zariadení a opatrení a plány verejných zariadení a opatrení</w:t>
            </w:r>
          </w:p>
        </w:tc>
      </w:tr>
      <w:tr w:rsidR="004D45CF" w:rsidRPr="003963BB" w:rsidTr="004D45CF">
        <w:trPr>
          <w:trHeight w:val="480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30.06.2014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Rozdeľovací plán vo forme umiestňovacieho a vytyčovacieho plánu / „RP“/</w:t>
            </w:r>
          </w:p>
        </w:tc>
      </w:tr>
      <w:tr w:rsidR="004D45CF" w:rsidRPr="003963BB" w:rsidTr="004D45CF">
        <w:trPr>
          <w:trHeight w:val="870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31.01.2015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 xml:space="preserve">Vykonanie projektu pozemkových úprav – plán prechodu a vytýčenie význačných </w:t>
            </w:r>
          </w:p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                     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>a podrobných bodov hraníc nových pozemkov</w:t>
            </w:r>
          </w:p>
        </w:tc>
      </w:tr>
      <w:tr w:rsidR="004D45CF" w:rsidRPr="003963BB" w:rsidTr="004D45CF">
        <w:trPr>
          <w:trHeight w:val="1365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31.01.2015 –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 xml:space="preserve">Vykonanie projektu pozemkových úprav – aktualizácia RPS a RP, rozdeľovací plán vo </w:t>
            </w:r>
          </w:p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sz w:val="26"/>
                <w:szCs w:val="26"/>
              </w:rPr>
              <w:t xml:space="preserve">                     </w:t>
            </w: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 xml:space="preserve">forme geometrického plánu alebo vo forme obnovy katastrálneho operátu novým </w:t>
            </w:r>
          </w:p>
          <w:p w:rsidR="004D45CF" w:rsidRPr="003963BB" w:rsidRDefault="004D45CF" w:rsidP="00DB3A0F">
            <w:pPr>
              <w:spacing w:line="240" w:lineRule="auto"/>
              <w:ind w:left="258" w:right="-709"/>
              <w:jc w:val="both"/>
              <w:rPr>
                <w:rFonts w:ascii="Garamond" w:hAnsi="Garamond" w:cs="Times New Roman"/>
                <w:b/>
                <w:sz w:val="26"/>
                <w:szCs w:val="26"/>
              </w:rPr>
            </w:pPr>
            <w:r w:rsidRPr="003963BB">
              <w:rPr>
                <w:rFonts w:ascii="Garamond" w:hAnsi="Garamond" w:cs="Times New Roman"/>
                <w:b/>
                <w:color w:val="C00000"/>
                <w:sz w:val="26"/>
                <w:szCs w:val="26"/>
              </w:rPr>
              <w:t xml:space="preserve">                    mapovaním.</w:t>
            </w:r>
          </w:p>
        </w:tc>
      </w:tr>
      <w:tr w:rsidR="004D45CF" w:rsidRPr="003963BB" w:rsidTr="00DB3A0F">
        <w:trPr>
          <w:trHeight w:val="1965"/>
        </w:trPr>
        <w:tc>
          <w:tcPr>
            <w:tcW w:w="11624" w:type="dxa"/>
          </w:tcPr>
          <w:p w:rsidR="004D45CF" w:rsidRPr="003963BB" w:rsidRDefault="004D45CF" w:rsidP="00DB3A0F">
            <w:pPr>
              <w:spacing w:line="240" w:lineRule="auto"/>
              <w:ind w:right="-709"/>
              <w:jc w:val="both"/>
              <w:rPr>
                <w:rFonts w:ascii="Garamond" w:hAnsi="Garamond" w:cs="Times New Roman"/>
                <w:b/>
                <w:color w:val="7030A0"/>
                <w:sz w:val="26"/>
                <w:szCs w:val="26"/>
              </w:rPr>
            </w:pPr>
          </w:p>
          <w:p w:rsidR="004D45CF" w:rsidRPr="003963BB" w:rsidRDefault="004D45CF" w:rsidP="00DB3A0F">
            <w:pPr>
              <w:spacing w:line="240" w:lineRule="auto"/>
              <w:ind w:right="-709"/>
              <w:jc w:val="center"/>
              <w:rPr>
                <w:rFonts w:ascii="Garamond" w:hAnsi="Garamond" w:cs="Times New Roman"/>
                <w:b/>
                <w:color w:val="7030A0"/>
                <w:sz w:val="24"/>
                <w:szCs w:val="24"/>
              </w:rPr>
            </w:pPr>
          </w:p>
          <w:p w:rsidR="004D45CF" w:rsidRPr="003963BB" w:rsidRDefault="004D45CF" w:rsidP="004D45CF">
            <w:pPr>
              <w:spacing w:line="240" w:lineRule="auto"/>
              <w:ind w:right="-709"/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3963BB">
              <w:rPr>
                <w:rFonts w:ascii="Garamond" w:hAnsi="Garamond" w:cs="Times New Roman"/>
                <w:b/>
                <w:color w:val="7030A0"/>
                <w:sz w:val="28"/>
                <w:szCs w:val="28"/>
              </w:rPr>
              <w:t>„financované z prostriedkov EPFRV“</w:t>
            </w:r>
          </w:p>
        </w:tc>
      </w:tr>
    </w:tbl>
    <w:p w:rsidR="003854D1" w:rsidRPr="003854D1" w:rsidRDefault="003854D1" w:rsidP="00DB3A0F">
      <w:pPr>
        <w:ind w:right="-709"/>
        <w:rPr>
          <w:rFonts w:ascii="Times New Roman" w:hAnsi="Times New Roman" w:cs="Times New Roman"/>
          <w:sz w:val="24"/>
          <w:szCs w:val="24"/>
        </w:rPr>
      </w:pPr>
    </w:p>
    <w:sectPr w:rsidR="003854D1" w:rsidRPr="003854D1" w:rsidSect="003963BB">
      <w:pgSz w:w="11906" w:h="16838"/>
      <w:pgMar w:top="567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4D1"/>
    <w:rsid w:val="00183106"/>
    <w:rsid w:val="00283BEB"/>
    <w:rsid w:val="003854D1"/>
    <w:rsid w:val="003963BB"/>
    <w:rsid w:val="003A265C"/>
    <w:rsid w:val="004D45CF"/>
    <w:rsid w:val="00852761"/>
    <w:rsid w:val="00C24A40"/>
    <w:rsid w:val="00C53043"/>
    <w:rsid w:val="00DB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A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4A01-93A7-4D34-B072-D51CA3EC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opu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2012-12-06T08:41:00Z</cp:lastPrinted>
  <dcterms:created xsi:type="dcterms:W3CDTF">2012-12-06T07:38:00Z</dcterms:created>
  <dcterms:modified xsi:type="dcterms:W3CDTF">2012-12-10T09:17:00Z</dcterms:modified>
</cp:coreProperties>
</file>