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color w:val="000000"/>
          <w:lang w:eastAsia="sk-SK" w:bidi="ar-SA"/>
        </w:rPr>
      </w:pPr>
      <w:bookmarkStart w:id="0" w:name="_GoBack"/>
      <w:bookmarkEnd w:id="0"/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Návrh na vydanie kolaudačného rozhodnutia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K návrhu na vydanie kolaudačného rozhodnutia sa podľa potreby pripojí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opis a odôvodnenie vykonaných odchýlok od územného rozhodnutia a stavebného povolenia,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ak ide o stavbu, na ktorej geodetické činnosti zabezpečujú oprávnení geodeti a kartografi, doklad o zabezpečení spracovania výsledného operátu merania a zobrazenia predmetov skutočného vyhotovenia stavby, pri podzemných sieťach technického vybavenia ešte pred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zakrytím,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geometrický plán podľa predpisov o katastri nehnuteľností; tento doklad sa nedoplní, ak nedošlo k zmene vonkajšieho pôdorysného ohraničenia stavby,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ak ide o stavbu, v ktorej bolo alebo má byť zabudované jadrové zariadenie, súhlas úradu jadrového dozoru udelený na základe posúdenia bezpečnostnej dokumentácie,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rozhodnutia, stanoviská, vyjadrenia, súhlasy, posúdenia alebo iné opatrenia dotknutých orgánov štátnej správy,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ďalšie doklady, ak si ich stavebný úrad vyžiadal, napr. doklad o splnení základných požiadaviek na stavby.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Ďalšie prílohy: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zaplatení správneho poplatku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splnomocnenie na zastupovanie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kolaudačnom konaní (ak návrh podáva stavebník prostredníctvom svojho zástupcu)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fotokópia právoplatného územného rozhodnutia, ak bolo vydané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fotokópia právoplatného stavebného povolenia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iných právoplatných rozhodnutí súvisiacich so stavbou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iné (uviesť):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color w:val="000000"/>
          <w:lang w:eastAsia="sk-SK" w:bidi="ar-SA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Doklady predkladané pri ústnom konaní spojenom s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miestnym zisťovaním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3970" w:leader="none"/>
        </w:tabs>
        <w:spacing w:lineRule="auto" w:line="276" w:before="60" w:after="0"/>
        <w:ind w:left="425" w:hanging="425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u w:val="single" w:color="000000"/>
          <w:lang w:eastAsia="sk-SK" w:bidi="ar-SA"/>
        </w:rPr>
        <w:t>Ku kolaudačnému konaniu je potrebné v</w:t>
      </w:r>
      <w:r>
        <w:rPr>
          <w:rFonts w:cs="Times New Roman" w:ascii="Times New Roman" w:hAnsi="Times New Roman"/>
          <w:color w:val="000000"/>
          <w:u w:val="single" w:color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u w:val="single" w:color="000000"/>
          <w:lang w:eastAsia="sk-SK" w:bidi="ar-SA"/>
        </w:rPr>
        <w:t xml:space="preserve">súlade s § 18 vyhlášky č. 453/2000 Z. z., </w:t>
      </w:r>
      <w:r>
        <w:rPr>
          <w:rFonts w:eastAsia="Liberation Sans" w:cs="Times New Roman" w:ascii="Times New Roman" w:hAnsi="Times New Roman"/>
          <w:i/>
          <w:color w:val="000000"/>
          <w:u w:val="single" w:color="000000"/>
          <w:lang w:eastAsia="sk-SK" w:bidi="ar-SA"/>
        </w:rPr>
        <w:t>ktorou sa vykonávajú niektoré ustanovenia stavebného zákona</w:t>
      </w:r>
      <w:r>
        <w:rPr>
          <w:rFonts w:eastAsia="Liberation Sans" w:cs="Times New Roman" w:ascii="Times New Roman" w:hAnsi="Times New Roman"/>
          <w:color w:val="000000"/>
          <w:u w:val="single" w:color="000000"/>
          <w:lang w:eastAsia="sk-SK" w:bidi="ar-SA"/>
        </w:rPr>
        <w:t xml:space="preserve"> predložiť: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doklady o vytýčení priestorovej polohy stavby 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(zápis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vytýčení stavby pred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zahájením stavebných prác),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doklady o výsledkoch predpísaných skúšok a meraní a o spôsobilosti prevádzkových zariadení na plynulú a bezpečnú prevádzku 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(revízne správy elektroinštalácie, plynoinštalácie, zdravotechniky, vzduchotechniky, úradné skúšky/osvedčenie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úradnej skúške, ...),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 ak bola vykonaná skúšobná prevádzka, jej vyhodnotenie alebo správa o výsledku komplexného vyskúšania,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projektovú dokumentáciu overenú stavebným úradom v stavebnom konaní alebo pri povoľovaní zmeny stavby pred jej dokončením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 xml:space="preserve"> (opečiatkovanú zhotoviteľom stavby),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výkresy, v ktorých sú vyznačené zmeny, ku ktorým došlo počas uskutočňovania stavby; tieto zmeny môžu byť na základe kolaudačného rozhodnutia vyznačené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projektovej dokumentácii overenej stavebným úradom v stavebnom konaní, ak konanie o nich stavebný úrad spojil s kolaudačným konaním,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doklady o overení požadovaných vlastností výrobkov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 xml:space="preserve"> (certifikáty/vyhlásenie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zhode/vyhlásenie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 xml:space="preserve">nemennosti parametrov použitých materiálov podľa § 43f stavebného zákona) 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a ďalšie doklady určené v podmienkach stavebného povolenia,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podrobnejšia dokumentácia vypracovaná ešte pred začatím stavby, ak stavebný úrad jej vypracovanie určil v podmienkach stavebného povolenia,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stavebný denník.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425" w:leader="none"/>
        </w:tabs>
        <w:spacing w:lineRule="auto" w:line="276" w:before="60" w:after="0"/>
        <w:ind w:left="425" w:hanging="425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u w:val="single" w:color="000000"/>
          <w:lang w:eastAsia="sk-SK" w:bidi="ar-SA"/>
        </w:rPr>
        <w:t>Ku kolaudačnému konaniu je potrebné ďalej predložiť: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Style w:val="Z3f3fkladn3f3ftext"/>
          <w:rFonts w:eastAsia="Liberation Sans" w:cs="Times New Roman"/>
          <w:color w:val="000000"/>
          <w:lang w:eastAsia="sk-SK" w:bidi="ar-SA"/>
        </w:rPr>
        <w:t>zápis o</w:t>
      </w:r>
      <w:r>
        <w:rPr>
          <w:rStyle w:val="Z3f3fkladn3f3ftext"/>
          <w:rFonts w:cs="Times New Roman"/>
          <w:color w:val="000000"/>
          <w:lang w:eastAsia="sk-SK" w:bidi="ar-SA"/>
        </w:rPr>
        <w:t> </w:t>
      </w:r>
      <w:r>
        <w:rPr>
          <w:rStyle w:val="Z3f3fkladn3f3ftext"/>
          <w:rFonts w:eastAsia="Liberation Sans" w:cs="Times New Roman"/>
          <w:color w:val="000000"/>
          <w:lang w:eastAsia="sk-SK" w:bidi="ar-SA"/>
        </w:rPr>
        <w:t>odovzdaní a</w:t>
      </w:r>
      <w:r>
        <w:rPr>
          <w:rStyle w:val="Z3f3fkladn3f3ftext"/>
          <w:rFonts w:cs="Times New Roman"/>
          <w:color w:val="000000"/>
          <w:lang w:eastAsia="sk-SK" w:bidi="ar-SA"/>
        </w:rPr>
        <w:t> </w:t>
      </w:r>
      <w:r>
        <w:rPr>
          <w:rStyle w:val="Z3f3fkladn3f3ftext"/>
          <w:rFonts w:eastAsia="Liberation Sans" w:cs="Times New Roman"/>
          <w:color w:val="000000"/>
          <w:lang w:eastAsia="sk-SK" w:bidi="ar-SA"/>
        </w:rPr>
        <w:t>prevzatí stavby,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geometrický plán zamerania stavby autorizačne overený autorizovaným geodetom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kartografom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úradne overený Okresným úradom </w:t>
      </w:r>
      <w:r>
        <w:rPr>
          <w:rFonts w:eastAsia="Liberation Sans" w:cs="Times New Roman" w:ascii="Times New Roman" w:hAnsi="Times New Roman"/>
          <w:color w:val="000000"/>
          <w:kern w:val="2"/>
          <w:sz w:val="24"/>
          <w:szCs w:val="24"/>
          <w:lang w:eastAsia="sk-SK" w:bidi="ar-SA"/>
        </w:rPr>
        <w:t>Humenné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, Katastrálnym odborom,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potvrdenie správcu digitálnej mapy</w:t>
      </w:r>
      <w:r>
        <w:rPr>
          <w:rFonts w:eastAsia="Liberation Sans" w:cs="Times New Roman" w:ascii="Times New Roman" w:hAnsi="Times New Roman"/>
          <w:color w:val="000000"/>
          <w:spacing w:val="-1"/>
          <w:lang w:eastAsia="sk-SK" w:bidi="ar-SA"/>
        </w:rPr>
        <w:t xml:space="preserve"> o</w:t>
      </w:r>
      <w:r>
        <w:rPr>
          <w:rFonts w:cs="Times New Roman" w:ascii="Times New Roman" w:hAnsi="Times New Roman"/>
          <w:color w:val="000000"/>
          <w:spacing w:val="-1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spacing w:val="-1"/>
          <w:lang w:eastAsia="sk-SK" w:bidi="ar-SA"/>
        </w:rPr>
        <w:t>odovzdaní geodetickej dokumentácie,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spacing w:val="-1"/>
          <w:lang w:eastAsia="sk-SK" w:bidi="ar-SA"/>
        </w:rPr>
        <w:t>osvedčenie o</w:t>
      </w:r>
      <w:r>
        <w:rPr>
          <w:rFonts w:cs="Times New Roman" w:ascii="Times New Roman" w:hAnsi="Times New Roman"/>
          <w:color w:val="000000"/>
          <w:spacing w:val="-1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spacing w:val="-1"/>
          <w:lang w:eastAsia="sk-SK" w:bidi="ar-SA"/>
        </w:rPr>
        <w:t>stave komínov,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spacing w:val="-1"/>
          <w:lang w:eastAsia="sk-SK" w:bidi="ar-SA"/>
        </w:rPr>
        <w:t xml:space="preserve">súhlas </w:t>
      </w:r>
      <w:r>
        <w:rPr>
          <w:rFonts w:eastAsia="Liberation Sans" w:cs="Times New Roman" w:ascii="Times New Roman" w:hAnsi="Times New Roman"/>
          <w:color w:val="000000"/>
          <w:spacing w:val="-1"/>
          <w:lang w:eastAsia="sk-SK" w:bidi="ar-SA"/>
        </w:rPr>
        <w:t>obce</w:t>
      </w:r>
      <w:r>
        <w:rPr>
          <w:rFonts w:eastAsia="Liberation Sans" w:cs="Times New Roman" w:ascii="Times New Roman" w:hAnsi="Times New Roman"/>
          <w:color w:val="000000"/>
          <w:spacing w:val="-1"/>
          <w:lang w:eastAsia="sk-SK" w:bidi="ar-SA"/>
        </w:rPr>
        <w:t xml:space="preserve"> s</w:t>
      </w:r>
      <w:r>
        <w:rPr>
          <w:rFonts w:cs="Times New Roman" w:ascii="Times New Roman" w:hAnsi="Times New Roman"/>
          <w:color w:val="000000"/>
          <w:spacing w:val="-1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spacing w:val="-1"/>
          <w:lang w:eastAsia="sk-SK" w:bidi="ar-SA"/>
        </w:rPr>
        <w:t xml:space="preserve">uvedením malého zdroja znečistenia ovzdušia do užívania, alebo súhlas 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Okresného úradu </w:t>
      </w:r>
      <w:r>
        <w:rPr>
          <w:rFonts w:eastAsia="Liberation Sans" w:cs="Times New Roman" w:ascii="Times New Roman" w:hAnsi="Times New Roman"/>
          <w:color w:val="000000"/>
          <w:kern w:val="2"/>
          <w:sz w:val="24"/>
          <w:szCs w:val="24"/>
          <w:lang w:eastAsia="sk-SK" w:bidi="ar-SA"/>
        </w:rPr>
        <w:t>Humenné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, odboru starostlivosti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životné prostredie s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uvedením stredného zdroja znečistenia ovzdušia,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zápis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skúške tesnosti žumpy,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Style w:val="Z3f3fkladn3f3ftext9"/>
          <w:rFonts w:eastAsia="Times New Roman" w:cs="Times New Roman" w:ascii="Times New Roman" w:hAnsi="Times New Roman"/>
          <w:color w:val="000000"/>
          <w:sz w:val="24"/>
          <w:lang w:eastAsia="sk-SK" w:bidi="ar-SA"/>
        </w:rPr>
        <w:t xml:space="preserve">vyjadrenie Okresného úradu </w:t>
      </w:r>
      <w:r>
        <w:rPr>
          <w:rStyle w:val="Z3f3fkladn3f3ftext9"/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sk-SK" w:bidi="ar-SA"/>
        </w:rPr>
        <w:t>Humenné</w:t>
      </w:r>
      <w:r>
        <w:rPr>
          <w:rStyle w:val="Z3f3fkladn3f3ftext9"/>
          <w:rFonts w:eastAsia="Times New Roman" w:cs="Times New Roman" w:ascii="Times New Roman" w:hAnsi="Times New Roman"/>
          <w:color w:val="000000"/>
          <w:sz w:val="24"/>
          <w:lang w:eastAsia="sk-SK" w:bidi="ar-SA"/>
        </w:rPr>
        <w:t xml:space="preserve"> (odpadové hospodárstvo), že mu bol preukázaný doklad o</w:t>
      </w:r>
      <w:r>
        <w:rPr>
          <w:rStyle w:val="Z3f3fkladn3f3ftext9"/>
          <w:rFonts w:cs="Times New Roman" w:ascii="Times New Roman" w:hAnsi="Times New Roman"/>
          <w:color w:val="000000"/>
          <w:sz w:val="24"/>
          <w:lang w:eastAsia="sk-SK" w:bidi="ar-SA"/>
        </w:rPr>
        <w:t> </w:t>
      </w:r>
      <w:r>
        <w:rPr>
          <w:rStyle w:val="Z3f3fkladn3f3ftext9"/>
          <w:rFonts w:eastAsia="Times New Roman" w:cs="Times New Roman" w:ascii="Times New Roman" w:hAnsi="Times New Roman"/>
          <w:color w:val="000000"/>
          <w:sz w:val="24"/>
          <w:lang w:eastAsia="sk-SK" w:bidi="ar-SA"/>
        </w:rPr>
        <w:t xml:space="preserve">zneškodnení odpadov resp. </w:t>
      </w:r>
      <w:r>
        <w:rPr>
          <w:rFonts w:eastAsia="Times New Roman" w:cs="Times New Roman" w:ascii="Times New Roman" w:hAnsi="Times New Roman"/>
          <w:color w:val="000000"/>
          <w:spacing w:val="-1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spacing w:val="-1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spacing w:val="-1"/>
          <w:lang w:eastAsia="sk-SK" w:bidi="ar-SA"/>
        </w:rPr>
        <w:t xml:space="preserve">odovzdaní odpadu </w:t>
      </w:r>
      <w:r>
        <w:rPr>
          <w:rStyle w:val="Z3f3fkladn3f3ftext9"/>
          <w:rFonts w:eastAsia="Times New Roman" w:cs="Times New Roman" w:ascii="Times New Roman" w:hAnsi="Times New Roman"/>
          <w:color w:val="000000"/>
          <w:sz w:val="24"/>
          <w:lang w:eastAsia="sk-SK" w:bidi="ar-SA"/>
        </w:rPr>
        <w:t xml:space="preserve">fyzickej alebo právnickej osobe, ktorá je na túto činnosť oprávnená + jej osvedčenie na túto činnosť, 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vlastníctve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prípade zmeny vlastníctva počas realizácie výstavby,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energetický certifikát budovy,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Style w:val="Z3f3fkladn3f3ftext"/>
          <w:rFonts w:eastAsia="Times New Roman" w:cs="Times New Roman"/>
          <w:color w:val="000000"/>
          <w:sz w:val="24"/>
          <w:lang w:eastAsia="sk-SK" w:bidi="ar-SA"/>
        </w:rPr>
        <w:t>výsledky laboratórneho rozboru, ktoré preukážu, že kvalita vody v spotrebisku spĺňa požiadavky nariadenia vlády SR č. 354/2006 Z. z.,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Style w:val="Z3f3fkladn3f3ftext"/>
          <w:rFonts w:eastAsia="Times New Roman" w:cs="Times New Roman"/>
          <w:color w:val="000000"/>
          <w:sz w:val="24"/>
          <w:lang w:eastAsia="sk-SK" w:bidi="ar-SA"/>
        </w:rPr>
        <w:t>výsledky objektívneho merania hluku, ktoré preukážu, že hluk zo všetkých vonkajších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</w:t>
      </w:r>
      <w:r>
        <w:rPr>
          <w:rStyle w:val="Z3f3fkladn3f3ftext"/>
          <w:rFonts w:eastAsia="Times New Roman" w:cs="Times New Roman"/>
          <w:color w:val="000000"/>
          <w:sz w:val="24"/>
          <w:lang w:eastAsia="sk-SK" w:bidi="ar-SA"/>
        </w:rPr>
        <w:t>i vnútorných zdrojov nebude negatívne vplývať</w:t>
      </w:r>
      <w:r>
        <w:rPr>
          <w:rStyle w:val="Z3f3fkladn3f3ftext"/>
          <w:rFonts w:eastAsia="Liberation Sans" w:cs="Times New Roman"/>
          <w:color w:val="000000"/>
          <w:lang w:eastAsia="sk-SK" w:bidi="ar-SA"/>
        </w:rPr>
        <w:t xml:space="preserve"> na vlastné a okolité chránené vnútorné prostredie podľa vyhl. MZ SR č. 549/2007 Z. z.,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Style w:val="Z3f3fkladn3f3ftext"/>
          <w:rFonts w:eastAsia="Liberation Sans" w:cs="Times New Roman"/>
          <w:color w:val="000000"/>
          <w:lang w:eastAsia="sk-SK" w:bidi="ar-SA"/>
        </w:rPr>
        <w:t>právoplatné rozhodnutia špeciálnych stavebných úradov o</w:t>
      </w:r>
      <w:r>
        <w:rPr>
          <w:rStyle w:val="Z3f3fkladn3f3ftext"/>
          <w:rFonts w:cs="Times New Roman"/>
          <w:color w:val="000000"/>
          <w:lang w:eastAsia="sk-SK" w:bidi="ar-SA"/>
        </w:rPr>
        <w:t> </w:t>
      </w:r>
      <w:r>
        <w:rPr>
          <w:rStyle w:val="Z3f3fkladn3f3ftext"/>
          <w:rFonts w:eastAsia="Liberation Sans" w:cs="Times New Roman"/>
          <w:color w:val="000000"/>
          <w:lang w:eastAsia="sk-SK" w:bidi="ar-SA"/>
        </w:rPr>
        <w:t>povolení užívania, ak boli vydané stavebné povolenia na komunikácie a</w:t>
      </w:r>
      <w:r>
        <w:rPr>
          <w:rStyle w:val="Z3f3fkladn3f3ftext"/>
          <w:rFonts w:cs="Times New Roman"/>
          <w:color w:val="000000"/>
          <w:lang w:eastAsia="sk-SK" w:bidi="ar-SA"/>
        </w:rPr>
        <w:t> </w:t>
      </w:r>
      <w:r>
        <w:rPr>
          <w:rStyle w:val="Z3f3fkladn3f3ftext"/>
          <w:rFonts w:eastAsia="Liberation Sans" w:cs="Times New Roman"/>
          <w:color w:val="000000"/>
          <w:lang w:eastAsia="sk-SK" w:bidi="ar-SA"/>
        </w:rPr>
        <w:t>spevnené plochy, vodné stavby,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Style w:val="Z3f3fkladn3f3ftext"/>
          <w:rFonts w:eastAsia="Liberation Sans" w:cs="Times New Roman"/>
          <w:color w:val="000000"/>
          <w:lang w:eastAsia="sk-SK" w:bidi="ar-SA"/>
        </w:rPr>
        <w:t>doklady o</w:t>
      </w:r>
      <w:r>
        <w:rPr>
          <w:rStyle w:val="Z3f3fkladn3f3ftext"/>
          <w:rFonts w:cs="Times New Roman"/>
          <w:color w:val="000000"/>
          <w:lang w:eastAsia="sk-SK" w:bidi="ar-SA"/>
        </w:rPr>
        <w:t> </w:t>
      </w:r>
      <w:r>
        <w:rPr>
          <w:rStyle w:val="Z3f3fkladn3f3ftext"/>
          <w:rFonts w:eastAsia="Liberation Sans" w:cs="Times New Roman"/>
          <w:color w:val="000000"/>
          <w:lang w:eastAsia="sk-SK" w:bidi="ar-SA"/>
        </w:rPr>
        <w:t>vykonaní úradnej skúšky vyhradených technických zariadení</w:t>
      </w:r>
      <w:r>
        <w:rPr>
          <w:rStyle w:val="Z3f3fkladn3f3ftext"/>
          <w:rFonts w:cs="Times New Roman"/>
          <w:color w:val="000000"/>
          <w:lang w:eastAsia="sk-SK" w:bidi="ar-SA"/>
        </w:rPr>
        <w:t>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Style w:val="Z3f3fkladn3f3ftext"/>
          <w:rFonts w:eastAsia="Liberation Sans" w:cs="Times New Roman"/>
          <w:color w:val="000000"/>
          <w:lang w:eastAsia="sk-SK" w:bidi="ar-SA"/>
        </w:rPr>
        <w:t>licencie, oprávnenia a</w:t>
      </w:r>
      <w:r>
        <w:rPr>
          <w:rStyle w:val="Z3f3fkladn3f3ftext"/>
          <w:rFonts w:cs="Times New Roman"/>
          <w:color w:val="000000"/>
          <w:lang w:eastAsia="sk-SK" w:bidi="ar-SA"/>
        </w:rPr>
        <w:t> </w:t>
      </w:r>
      <w:r>
        <w:rPr>
          <w:rStyle w:val="Z3f3fkladn3f3ftext"/>
          <w:rFonts w:eastAsia="Liberation Sans" w:cs="Times New Roman"/>
          <w:color w:val="000000"/>
          <w:lang w:eastAsia="sk-SK" w:bidi="ar-SA"/>
        </w:rPr>
        <w:t>doklady o</w:t>
      </w:r>
      <w:r>
        <w:rPr>
          <w:rStyle w:val="Z3f3fkladn3f3ftext"/>
          <w:rFonts w:cs="Times New Roman"/>
          <w:color w:val="000000"/>
          <w:lang w:eastAsia="sk-SK" w:bidi="ar-SA"/>
        </w:rPr>
        <w:t> </w:t>
      </w:r>
      <w:r>
        <w:rPr>
          <w:rStyle w:val="Z3f3fkladn3f3ftext"/>
          <w:rFonts w:eastAsia="Liberation Sans" w:cs="Times New Roman"/>
          <w:color w:val="000000"/>
          <w:lang w:eastAsia="sk-SK" w:bidi="ar-SA"/>
        </w:rPr>
        <w:t>odbornej kvalifikácii zhotoviteľa stavby, stavebného dozoru/stavbyvedúceho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425" w:hanging="425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Kolaudačné rozhodnutie na „hlavnú stavbu“ môže byť vydané, ak bude zabezpečené zariadenie na hygienicky bezchybné a požiarne bezpečné ukladanie domového odpadu, bude zrealizovaný dostatočný počet parkovacích miest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sadové úpravy.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color w:val="000000"/>
          <w:lang w:eastAsia="sk-SK" w:bidi="ar-SA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Poznámka: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Rozsah uvedených dokladov môže byť podľa povahy stavby zúžený, ale i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rozšírený o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ďalšie doklady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údaje potrebné k vydaniu rozhodnutia. Po preskúmaní predložených dokladov môžu podľa povahy veci vyplynúť požiadavky na doplnenie ďalších údajov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dokladov.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2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Z3f3fkladn3f3ftext" w:customStyle="1">
    <w:name w:val="Zá3f3fkladný3f3f text_"/>
    <w:uiPriority w:val="99"/>
    <w:qFormat/>
    <w:rPr>
      <w:rFonts w:ascii="Times New Roman" w:hAnsi="Times New Roman"/>
      <w:sz w:val="23"/>
      <w:u w:val="none" w:color="000000"/>
    </w:rPr>
  </w:style>
  <w:style w:type="character" w:styleId="Z3f3fkladn3f3ftext9" w:customStyle="1">
    <w:name w:val="Zá3f3fkladný3f3f text (9)_"/>
    <w:uiPriority w:val="99"/>
    <w:qFormat/>
    <w:rPr>
      <w:rFonts w:ascii="Arial" w:hAnsi="Arial"/>
      <w:sz w:val="11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Liberation Sans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Liberation Sans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Liberation Sans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Liberation Sans" w:cs="Liberation Sans"/>
      <w:i/>
      <w:iCs/>
      <w:color w:val="000000"/>
    </w:rPr>
  </w:style>
  <w:style w:type="paragraph" w:styleId="Z3f3fkladn3f3ftext91" w:customStyle="1">
    <w:name w:val="Zá3f3fkladný3f3f text (9)"/>
    <w:uiPriority w:val="99"/>
    <w:qFormat/>
    <w:pPr>
      <w:widowControl w:val="false"/>
      <w:shd w:val="clear" w:color="auto" w:fill="FFFFFF"/>
      <w:suppressAutoHyphens w:val="true"/>
      <w:bidi w:val="0"/>
      <w:spacing w:lineRule="auto" w:line="240" w:before="0" w:after="0"/>
      <w:jc w:val="left"/>
    </w:pPr>
    <w:rPr>
      <w:rFonts w:ascii="Arial" w:hAnsi="Arial" w:eastAsia="Liberation Sans" w:cs="Arial"/>
      <w:color w:val="000000"/>
      <w:kern w:val="2"/>
      <w:sz w:val="11"/>
      <w:szCs w:val="11"/>
      <w:lang w:val="sk-SK" w:eastAsia="sk-SK" w:bidi="ar-SA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LibreOffice/7.1.4.2$Windows_X86_64 LibreOffice_project/a529a4fab45b75fefc5b6226684193eb000654f6</Application>
  <AppVersion>15.0000</AppVersion>
  <Pages>2</Pages>
  <Words>681</Words>
  <Characters>4877</Characters>
  <CharactersWithSpaces>5480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2019-11-18T11:53:00Z</dcterms:created>
  <dc:creator>Zuzana</dc:creator>
  <dc:description/>
  <dc:language>sk-SK</dc:language>
  <cp:lastModifiedBy/>
  <cp:lastPrinted>2014-08-15T05:48:00Z</cp:lastPrinted>
  <dcterms:modified xsi:type="dcterms:W3CDTF">2022-11-25T13:04:30Z</dcterms:modified>
  <cp:revision>4</cp:revision>
  <dc:subject/>
  <dc:title>Navrhovateľ/stavebník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